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187FC7D" w:rsidP="31BFD374" w:rsidRDefault="1187FC7D" w14:paraId="4BF78857" w14:textId="1AA416EC">
      <w:pPr>
        <w:pStyle w:val="Heading1"/>
        <w:shd w:val="clear" w:color="auto" w:fill="FFFFFF" w:themeFill="background1"/>
        <w:spacing w:before="0" w:beforeAutospacing="off" w:after="6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31BFD374" w:rsidR="4DADBE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Thermodynamic criteria for signaling in quantum channels</w:t>
      </w:r>
    </w:p>
    <w:p w:rsidR="2B7855B3" w:rsidP="31BFD374" w:rsidRDefault="2B7855B3" w14:paraId="4D5E8627" w14:textId="60475A39">
      <w:pPr>
        <w:pStyle w:val="Normal"/>
        <w:suppressLineNumbers w:val="0"/>
        <w:bidi w:val="0"/>
        <w:spacing w:before="0" w:beforeAutospacing="off" w:after="160" w:afterAutospacing="off" w:line="140" w:lineRule="atLeast"/>
        <w:ind w:left="0" w:right="0"/>
        <w:jc w:val="both"/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BFD374" w:rsidR="31C88414">
        <w:rPr>
          <w:i w:val="0"/>
          <w:iCs w:val="0"/>
          <w:noProof w:val="0"/>
          <w:sz w:val="24"/>
          <w:szCs w:val="24"/>
          <w:lang w:val="en-US"/>
        </w:rPr>
        <w:t>Yutong Luo</w:t>
      </w:r>
      <w:r w:rsidRPr="31BFD374" w:rsidR="528D9782">
        <w:rPr>
          <w:i w:val="0"/>
          <w:iCs w:val="0"/>
          <w:noProof w:val="0"/>
          <w:sz w:val="24"/>
          <w:szCs w:val="24"/>
          <w:vertAlign w:val="superscript"/>
          <w:lang w:val="en-US"/>
        </w:rPr>
        <w:t>1</w:t>
      </w:r>
      <w:r w:rsidRPr="31BFD374" w:rsidR="31C88414">
        <w:rPr>
          <w:i w:val="0"/>
          <w:iCs w:val="0"/>
          <w:noProof w:val="0"/>
          <w:sz w:val="24"/>
          <w:szCs w:val="24"/>
          <w:lang w:val="en-US"/>
        </w:rPr>
        <w:t>, Simon Milz</w:t>
      </w:r>
      <w:r w:rsidRPr="31BFD374" w:rsidR="2A44BE20">
        <w:rPr>
          <w:i w:val="0"/>
          <w:iCs w:val="0"/>
          <w:noProof w:val="0"/>
          <w:sz w:val="24"/>
          <w:szCs w:val="24"/>
          <w:vertAlign w:val="superscript"/>
          <w:lang w:val="en-US"/>
        </w:rPr>
        <w:t>2</w:t>
      </w:r>
      <w:r w:rsidRPr="31BFD374" w:rsidR="31C88414">
        <w:rPr>
          <w:i w:val="0"/>
          <w:iCs w:val="0"/>
          <w:noProof w:val="0"/>
          <w:sz w:val="24"/>
          <w:szCs w:val="24"/>
          <w:lang w:val="en-US"/>
        </w:rPr>
        <w:t>, and Felix C. Binder</w:t>
      </w:r>
      <w:r w:rsidRPr="31BFD374" w:rsidR="438C0CDA">
        <w:rPr>
          <w:i w:val="0"/>
          <w:iCs w:val="0"/>
          <w:noProof w:val="0"/>
          <w:sz w:val="24"/>
          <w:szCs w:val="24"/>
          <w:vertAlign w:val="superscript"/>
          <w:lang w:val="en-US"/>
        </w:rPr>
        <w:t>1</w:t>
      </w:r>
      <w:r w:rsidRPr="31BFD374" w:rsidR="31C88414">
        <w:rPr>
          <w:i w:val="0"/>
          <w:iCs w:val="0"/>
          <w:noProof w:val="0"/>
          <w:sz w:val="24"/>
          <w:szCs w:val="24"/>
          <w:lang w:val="en-US"/>
        </w:rPr>
        <w:t xml:space="preserve"> - </w:t>
      </w:r>
      <w:r w:rsidRPr="31BFD374" w:rsidR="31C88414"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Phys. Rev. Research </w:t>
      </w:r>
      <w:r w:rsidRPr="31BFD374" w:rsidR="31C88414">
        <w:rPr>
          <w:rFonts w:ascii="DengXian" w:hAnsi="DengXian" w:eastAsia="宋体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31BFD374" w:rsidR="31C88414"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043327(2025)</w:t>
      </w:r>
    </w:p>
    <w:p w:rsidR="4383AD05" w:rsidP="31BFD374" w:rsidRDefault="4383AD05" w14:paraId="6501D566" w14:textId="2FB6DBDA">
      <w:pPr>
        <w:pStyle w:val="Normal"/>
        <w:suppressLineNumbers w:val="0"/>
        <w:bidi w:val="0"/>
        <w:spacing w:before="0" w:beforeAutospacing="off" w:after="160" w:afterAutospacing="off" w:line="60" w:lineRule="atLeast"/>
        <w:ind w:left="0" w:right="0"/>
        <w:jc w:val="both"/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1BFD374" w:rsidR="4383AD05"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Trinity College Dublin</w:t>
      </w:r>
      <w:r w:rsidRPr="31BFD374" w:rsidR="259BF668"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</w:t>
      </w:r>
      <w:r w:rsidRPr="31BFD374" w:rsidR="4383AD05">
        <w:rPr>
          <w:rFonts w:ascii="DengXian" w:hAnsi="DengXian" w:eastAsia="宋体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 Heriot-Watt University</w:t>
      </w:r>
    </w:p>
    <w:p w:rsidR="1DDC6A9A" w:rsidP="6357BB18" w:rsidRDefault="1DDC6A9A" w14:paraId="0AB4FB19" w14:textId="1DAA0087">
      <w:pPr>
        <w:pStyle w:val="Normal"/>
        <w:spacing w:before="240" w:beforeAutospacing="off" w:after="240" w:afterAutospacing="off"/>
        <w:jc w:val="both"/>
        <w:rPr>
          <w:rFonts w:ascii="Noto Sans" w:hAnsi="Noto Sans" w:eastAsia="Noto Sans" w:cs="Noto Sans"/>
          <w:noProof w:val="0"/>
          <w:sz w:val="22"/>
          <w:szCs w:val="22"/>
          <w:lang w:val="en-US"/>
        </w:rPr>
      </w:pP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Signaling quantum channels are the operational backbone of quantum communication: they enable information to propagate from </w:t>
      </w:r>
      <w:r w:rsidRPr="613D6910" w:rsidR="739064B8">
        <w:rPr>
          <w:rFonts w:ascii="Noto Sans" w:hAnsi="Noto Sans" w:eastAsia="Noto Sans" w:cs="Noto Sans"/>
          <w:noProof w:val="0"/>
          <w:sz w:val="22"/>
          <w:szCs w:val="22"/>
          <w:lang w:val="en-US"/>
        </w:rPr>
        <w:t>inputs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to </w:t>
      </w:r>
      <w:r w:rsidRPr="613D6910" w:rsidR="6961F51D">
        <w:rPr>
          <w:rFonts w:ascii="Noto Sans" w:hAnsi="Noto Sans" w:eastAsia="Noto Sans" w:cs="Noto Sans"/>
          <w:noProof w:val="0"/>
          <w:sz w:val="22"/>
          <w:szCs w:val="22"/>
          <w:lang w:val="en-US"/>
        </w:rPr>
        <w:t>outputs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. Thermalization, by contrast, drives systems toward equilibrium and erases </w:t>
      </w:r>
      <w:r w:rsidRPr="613D6910" w:rsidR="69E29B2F">
        <w:rPr>
          <w:rFonts w:ascii="Noto Sans" w:hAnsi="Noto Sans" w:eastAsia="Noto Sans" w:cs="Noto Sans"/>
          <w:noProof w:val="0"/>
          <w:sz w:val="22"/>
          <w:szCs w:val="22"/>
          <w:lang w:val="en-US"/>
        </w:rPr>
        <w:t>information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</w:t>
      </w:r>
      <w:r w:rsidRPr="613D6910" w:rsidR="27049547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about the </w:t>
      </w:r>
      <w:r w:rsidRPr="613D6910" w:rsidR="27049547">
        <w:rPr>
          <w:rFonts w:ascii="Noto Sans" w:hAnsi="Noto Sans" w:eastAsia="Noto Sans" w:cs="Noto Sans"/>
          <w:noProof w:val="0"/>
          <w:sz w:val="22"/>
          <w:szCs w:val="22"/>
          <w:lang w:val="en-US"/>
        </w:rPr>
        <w:t>initial</w:t>
      </w:r>
      <w:r w:rsidRPr="613D6910" w:rsidR="27049547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state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. This fundamental opposition between information transfer and equilibration raises a central question: how does a channel’s thermalizing tendency constrain its ability to signal, and conversely, what thermodynamic </w:t>
      </w:r>
      <w:r w:rsidRPr="613D6910" w:rsidR="03FBB3ED">
        <w:rPr>
          <w:rFonts w:ascii="Noto Sans" w:hAnsi="Noto Sans" w:eastAsia="Noto Sans" w:cs="Noto Sans"/>
          <w:noProof w:val="0"/>
          <w:sz w:val="22"/>
          <w:szCs w:val="22"/>
          <w:lang w:val="en-US"/>
        </w:rPr>
        <w:t>property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is 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>required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to 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>transmit</w:t>
      </w:r>
      <w:r w:rsidRPr="613D6910" w:rsidR="7AA21C31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information?</w:t>
      </w:r>
    </w:p>
    <w:p w:rsidR="1DDC6A9A" w:rsidP="6357BB18" w:rsidRDefault="1DDC6A9A" w14:paraId="5F042DC0" w14:textId="7656EC5C">
      <w:pPr>
        <w:spacing w:before="240" w:beforeAutospacing="off" w:after="240" w:afterAutospacing="off"/>
        <w:jc w:val="both"/>
        <w:rPr>
          <w:rFonts w:ascii="Noto Sans" w:hAnsi="Noto Sans" w:eastAsia="Noto Sans" w:cs="Noto Sans"/>
          <w:noProof w:val="0"/>
          <w:sz w:val="22"/>
          <w:szCs w:val="22"/>
          <w:lang w:val="en-US"/>
        </w:rPr>
      </w:pP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We address this question by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identifying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three physically meaningful thermodynamic tasks associated with a quantum channel: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athermality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generation (creating deviations from equilibrium),</w:t>
      </w:r>
      <w:r w:rsidRPr="6357BB18" w:rsidR="545E1B4C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preservation (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maintaining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such deviations), and transmission (carrying them across the channel). We introduce faithful measures for </w:t>
      </w:r>
      <w:r w:rsidRPr="6357BB18" w:rsidR="3ED2A280">
        <w:rPr>
          <w:rFonts w:ascii="Noto Sans" w:hAnsi="Noto Sans" w:eastAsia="Noto Sans" w:cs="Noto Sans"/>
          <w:noProof w:val="0"/>
          <w:sz w:val="22"/>
          <w:szCs w:val="22"/>
          <w:lang w:val="en-US"/>
        </w:rPr>
        <w:t>athermality</w:t>
      </w:r>
      <w:r w:rsidRPr="6357BB18" w:rsidR="3ED2A280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generation and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preservation, and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prove that their difference exactly quantifies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athermality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transmission. These quantities admit a direct operational interpretation in terms of how well non-equilibrium features survive and propagate</w:t>
      </w:r>
      <w:r w:rsidRPr="6357BB18" w:rsidR="153D41A0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in quantum channels.</w:t>
      </w:r>
    </w:p>
    <w:p w:rsidR="1DDC6A9A" w:rsidP="6357BB18" w:rsidRDefault="1DDC6A9A" w14:paraId="36EE0E6C" w14:textId="40DF5835">
      <w:pPr>
        <w:spacing w:before="240" w:beforeAutospacing="off" w:after="240" w:afterAutospacing="off"/>
        <w:jc w:val="both"/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Analyzing their interplay, we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establish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quantitative bounds: the signaling power of a channel is upper-bounded by its ability to preserve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athermality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and lower-bounded by its ability to 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>transmit</w:t>
      </w:r>
      <w:r w:rsidRPr="6357BB18" w:rsidR="1DDC6A9A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 it. Thus, </w:t>
      </w:r>
      <w:r w:rsidRPr="6357BB18" w:rsidR="31D24C43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reliable information transfer </w:t>
      </w:r>
      <w:r w:rsidRPr="6357BB18" w:rsidR="31D24C43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>requires</w:t>
      </w:r>
      <w:r w:rsidRPr="6357BB18" w:rsidR="31D24C43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maintenance of thermodynamic resources and imposes fundamental limits on how much of these resources can be transferred.</w:t>
      </w:r>
    </w:p>
    <w:p w:rsidR="55EF6E3B" w:rsidP="31BFD374" w:rsidRDefault="55EF6E3B" w14:paraId="29160290" w14:textId="66A35D71">
      <w:pPr>
        <w:spacing w:before="240" w:beforeAutospacing="off" w:after="240" w:afterAutospacing="off"/>
        <w:jc w:val="both"/>
        <w:rPr>
          <w:rFonts w:ascii="Noto Sans" w:hAnsi="Noto Sans" w:eastAsia="Noto Sans" w:cs="Noto Sans"/>
          <w:noProof w:val="0"/>
          <w:sz w:val="22"/>
          <w:szCs w:val="22"/>
          <w:lang w:val="en-US"/>
        </w:rPr>
      </w:pPr>
      <w:r w:rsidRPr="31BFD374" w:rsidR="55EF6E3B">
        <w:rPr>
          <w:rFonts w:ascii="Noto Sans" w:hAnsi="Noto Sans" w:eastAsia="Noto Sans" w:cs="Noto Sans"/>
          <w:noProof w:val="0"/>
          <w:sz w:val="22"/>
          <w:szCs w:val="22"/>
          <w:lang w:val="en-US"/>
        </w:rPr>
        <w:t xml:space="preserve">As a concrete illustration, we study the quantum switch, where two channels act in a coherent superposition of causal orders. </w:t>
      </w:r>
      <w:r w:rsidRPr="31BFD374" w:rsidR="11FF3209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We show that the ability of the switch to enhance signaling </w:t>
      </w:r>
      <w:r w:rsidRPr="31BFD374" w:rsidR="3D064F74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>and</w:t>
      </w:r>
      <w:r w:rsidRPr="31BFD374" w:rsidR="11FF3209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deviation from thermal equilibrium depends on how input </w:t>
      </w:r>
      <w:r w:rsidRPr="31BFD374" w:rsidR="11FF3209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>athermality</w:t>
      </w:r>
      <w:r w:rsidRPr="31BFD374" w:rsidR="11FF3209">
        <w:rPr>
          <w:rFonts w:ascii="Noto Sans" w:hAnsi="Noto Sans" w:eastAsia="Noto Sans" w:cs="Noto San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is preserved and redistributed. </w:t>
      </w:r>
      <w:r w:rsidRPr="31BFD374" w:rsidR="55EF6E3B">
        <w:rPr>
          <w:rFonts w:ascii="Noto Sans" w:hAnsi="Noto Sans" w:eastAsia="Noto Sans" w:cs="Noto Sans"/>
          <w:noProof w:val="0"/>
          <w:sz w:val="22"/>
          <w:szCs w:val="22"/>
          <w:lang w:val="en-US"/>
        </w:rPr>
        <w:t>This reveals an explicit trade-off between signaling advantage and thermodynamic structure, providing a clear physical picture of how indefinite causal order reshapes the balance between communication and equilibration.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1CF0F5"/>
    <w:rsid w:val="012E5865"/>
    <w:rsid w:val="02B77921"/>
    <w:rsid w:val="03FB0A2F"/>
    <w:rsid w:val="03FBB3ED"/>
    <w:rsid w:val="0B8AD6BC"/>
    <w:rsid w:val="116B78A5"/>
    <w:rsid w:val="1187FC7D"/>
    <w:rsid w:val="11FF3209"/>
    <w:rsid w:val="137F50D8"/>
    <w:rsid w:val="13931F8C"/>
    <w:rsid w:val="153D41A0"/>
    <w:rsid w:val="1597A3EE"/>
    <w:rsid w:val="15B20050"/>
    <w:rsid w:val="197AF030"/>
    <w:rsid w:val="1A96D234"/>
    <w:rsid w:val="1D02E2B2"/>
    <w:rsid w:val="1DAC0D61"/>
    <w:rsid w:val="1DDC6A9A"/>
    <w:rsid w:val="1F7A2037"/>
    <w:rsid w:val="224AE219"/>
    <w:rsid w:val="252604FC"/>
    <w:rsid w:val="259BF668"/>
    <w:rsid w:val="27049547"/>
    <w:rsid w:val="296D0FFE"/>
    <w:rsid w:val="29D20860"/>
    <w:rsid w:val="2A44BE20"/>
    <w:rsid w:val="2A7FD0FA"/>
    <w:rsid w:val="2AF3BA50"/>
    <w:rsid w:val="2B7855B3"/>
    <w:rsid w:val="2D10DA82"/>
    <w:rsid w:val="31BFD374"/>
    <w:rsid w:val="31C88414"/>
    <w:rsid w:val="31D24C43"/>
    <w:rsid w:val="3684FD5E"/>
    <w:rsid w:val="3A35035E"/>
    <w:rsid w:val="3D064F74"/>
    <w:rsid w:val="3ED2A280"/>
    <w:rsid w:val="3F87DD73"/>
    <w:rsid w:val="40E63A21"/>
    <w:rsid w:val="4383AD05"/>
    <w:rsid w:val="438C0CDA"/>
    <w:rsid w:val="48A6A3FB"/>
    <w:rsid w:val="4BE3013B"/>
    <w:rsid w:val="4CF2A91E"/>
    <w:rsid w:val="4DADBEDB"/>
    <w:rsid w:val="5182B5BE"/>
    <w:rsid w:val="528D9782"/>
    <w:rsid w:val="545E1B4C"/>
    <w:rsid w:val="550D73A1"/>
    <w:rsid w:val="55EF6E3B"/>
    <w:rsid w:val="58CC6B99"/>
    <w:rsid w:val="58E3F1FE"/>
    <w:rsid w:val="5A22AA90"/>
    <w:rsid w:val="5ABD3F4A"/>
    <w:rsid w:val="5D309AD8"/>
    <w:rsid w:val="5D7A9826"/>
    <w:rsid w:val="5E448A21"/>
    <w:rsid w:val="5FF732BD"/>
    <w:rsid w:val="60E1ECAF"/>
    <w:rsid w:val="613D6910"/>
    <w:rsid w:val="6357BB18"/>
    <w:rsid w:val="63B06BCE"/>
    <w:rsid w:val="641F1486"/>
    <w:rsid w:val="6686D187"/>
    <w:rsid w:val="6961F51D"/>
    <w:rsid w:val="69E29B2F"/>
    <w:rsid w:val="6DA3A71A"/>
    <w:rsid w:val="6E1CF0F5"/>
    <w:rsid w:val="7234F8FF"/>
    <w:rsid w:val="735D0634"/>
    <w:rsid w:val="739064B8"/>
    <w:rsid w:val="73FB9524"/>
    <w:rsid w:val="747A44C2"/>
    <w:rsid w:val="7622758A"/>
    <w:rsid w:val="7AA21C31"/>
    <w:rsid w:val="7F4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6E82"/>
  <w15:chartTrackingRefBased/>
  <w15:docId w15:val="{07407241-8D5F-44AD-8128-8D28B7545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3B06BCE"/>
    <w:rPr>
      <w:noProof w:val="0"/>
      <w:lang w:val="en-IE"/>
    </w:rPr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357BB18"/>
    <w:rPr>
      <w:rFonts w:ascii="DengXian Light" w:hAnsi="DengXian Light" w:eastAsia="宋体" w:cs="" w:asciiTheme="majorAscii" w:hAnsiTheme="majorAscii" w:eastAsiaTheme="majorEastAsia" w:cstheme="majorBidi"/>
      <w:color w:val="0F4761" w:themeColor="accent1" w:themeTint="FF" w:themeShade="BF"/>
      <w:sz w:val="48"/>
      <w:szCs w:val="48"/>
    </w:rPr>
    <w:pPr>
      <w:keepNext w:val="1"/>
      <w:keepLines w:val="1"/>
      <w:spacing w:before="48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2026-02-19T15:22:35.4195241Z</dcterms:created>
  <dcterms:modified xsi:type="dcterms:W3CDTF">2026-02-20T09:57:20.1277519Z</dcterms:modified>
  <dc:creator>Yutong Luo</dc:creator>
  <lastModifiedBy>Yutong Luo</lastModifiedBy>
</coreProperties>
</file>